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Types>
</file>

<file path=_rels/.rels>&#65279;<?xml version="1.0" encoding="utf-8"?><Relationships xmlns="http://schemas.openxmlformats.org/package/2006/relationships"><Relationship Id="R1" Type="http://schemas.openxmlformats.org/officeDocument/2006/relationships/officeDocument" Target="/word/document.xml" /><Relationship Id="coreR1" Type="http://schemas.openxmlformats.org/package/2006/relationships/metadata/core-properties" Target="/docProps/core.xml" /><Relationship Id="appR1" Type="http://schemas.openxmlformats.org/officeDocument/2006/relationships/extended-properties" Target="/docProps/app.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body>
    <w:p>
      <w:pPr>
        <w:spacing w:after="0" w:beforeAutospacing="0" w:afterAutospacing="0"/>
        <w:ind w:firstLine="5812"/>
        <w:rPr>
          <w:rFonts w:ascii="Times New Roman" w:hAnsi="Times New Roman"/>
          <w:sz w:val="24"/>
          <w:szCs w:val="24"/>
        </w:rPr>
      </w:pPr>
      <w:r>
        <w:rPr>
          <w:rFonts w:ascii="Times New Roman" w:hAnsi="Times New Roman"/>
          <w:sz w:val="24"/>
          <w:szCs w:val="24"/>
        </w:rPr>
        <w:t xml:space="preserve">Додаток  3</w:t>
      </w:r>
    </w:p>
    <w:p>
      <w:pPr>
        <w:spacing w:after="0" w:beforeAutospacing="0" w:afterAutospacing="0"/>
        <w:ind w:firstLine="5812"/>
        <w:rPr>
          <w:rFonts w:ascii="Times New Roman" w:hAnsi="Times New Roman"/>
          <w:sz w:val="24"/>
          <w:szCs w:val="24"/>
        </w:rPr>
      </w:pPr>
      <w:r>
        <w:rPr>
          <w:rFonts w:ascii="Times New Roman" w:hAnsi="Times New Roman"/>
          <w:sz w:val="24"/>
          <w:szCs w:val="24"/>
        </w:rPr>
        <w:t>до рішення виконавчого комітету</w:t>
      </w:r>
    </w:p>
    <w:p>
      <w:pPr>
        <w:spacing w:after="0" w:beforeAutospacing="0" w:afterAutospacing="0"/>
        <w:ind w:firstLine="5812"/>
        <w:rPr>
          <w:rFonts w:ascii="Times New Roman" w:hAnsi="Times New Roman"/>
          <w:sz w:val="24"/>
          <w:szCs w:val="24"/>
        </w:rPr>
      </w:pPr>
      <w:r>
        <w:rPr>
          <w:rFonts w:ascii="Times New Roman" w:hAnsi="Times New Roman"/>
          <w:sz w:val="24"/>
          <w:szCs w:val="24"/>
        </w:rPr>
        <w:t>міської ради</w:t>
      </w:r>
    </w:p>
    <w:p>
      <w:pPr>
        <w:spacing w:after="0" w:beforeAutospacing="0" w:afterAutospacing="0"/>
        <w:ind w:firstLine="5812"/>
        <w:rPr>
          <w:rFonts w:ascii="Times New Roman" w:hAnsi="Times New Roman"/>
          <w:color w:val="000000"/>
          <w:sz w:val="24"/>
          <w:szCs w:val="24"/>
        </w:rPr>
      </w:pPr>
      <w:r>
        <w:rPr>
          <w:rFonts w:ascii="Times New Roman" w:hAnsi="Times New Roman"/>
          <w:color w:val="000000"/>
          <w:sz w:val="24"/>
          <w:szCs w:val="24"/>
        </w:rPr>
        <w:t xml:space="preserve">                                      </w:t>
      </w:r>
    </w:p>
    <w:p>
      <w:pPr>
        <w:pStyle w:val="P1"/>
        <w:shd w:val="clear" w:fill="FFFFFF"/>
        <w:jc w:val="both"/>
        <w:rPr>
          <w:rFonts w:ascii="Times New Roman" w:hAnsi="Times New Roman"/>
          <w:sz w:val="24"/>
          <w:szCs w:val="24"/>
          <w:spacing w:val="-6"/>
          <w:lang w:val="uk-UA"/>
        </w:rPr>
      </w:pPr>
      <w:r>
        <w:rPr>
          <w:rFonts w:ascii="Times New Roman" w:hAnsi="Times New Roman"/>
          <w:sz w:val="24"/>
          <w:szCs w:val="24"/>
          <w:spacing w:val="-6"/>
          <w:lang w:val="uk-UA"/>
        </w:rPr>
        <w:t xml:space="preserve">Перелік документів, необхідних для взяття на квартирний облік за місцем проживання у  виконавчому комітеті міської ради внутрішньо переміщених осіб з числа учасників бойових дій та осіб з інвалідністю внаслідок війни, та членів їх сімей, а також членів сімей загиблих (померлих) ветеранів війни, членів сімей загиблих (померлих) Захисників і Захисниць України.</w:t>
      </w:r>
    </w:p>
    <w:p>
      <w:pPr>
        <w:pStyle w:val="P1"/>
        <w:shd w:val="clear" w:fill="FFFFFF"/>
        <w:jc w:val="both"/>
        <w:rPr>
          <w:rFonts w:ascii="Times New Roman" w:hAnsi="Times New Roman"/>
          <w:sz w:val="24"/>
          <w:szCs w:val="24"/>
          <w:spacing w:val="-6"/>
          <w:lang w:val="uk-UA"/>
        </w:rPr>
      </w:pPr>
    </w:p>
    <w:p>
      <w:pPr>
        <w:tabs>
          <w:tab w:val="left" w:pos="252" w:leader="none"/>
        </w:tabs>
        <w:spacing w:after="0" w:beforeAutospacing="0" w:afterAutospacing="0"/>
        <w:jc w:val="both"/>
        <w:rPr>
          <w:rFonts w:ascii="Times New Roman" w:hAnsi="Times New Roman"/>
          <w:sz w:val="24"/>
          <w:szCs w:val="24"/>
          <w:spacing w:val="-6"/>
        </w:rPr>
      </w:pPr>
      <w:r>
        <w:rPr>
          <w:rFonts w:ascii="Times New Roman" w:hAnsi="Times New Roman"/>
          <w:sz w:val="24"/>
          <w:szCs w:val="24"/>
          <w:spacing w:val="-6"/>
        </w:rPr>
        <w:t xml:space="preserve">1.  Заява встановленого зразка.</w:t>
      </w:r>
    </w:p>
    <w:p>
      <w:pPr>
        <w:spacing w:after="0" w:beforeAutospacing="0" w:afterAutospacing="0"/>
        <w:jc w:val="both"/>
        <w:rPr>
          <w:rFonts w:ascii="Times New Roman" w:hAnsi="Times New Roman"/>
          <w:sz w:val="24"/>
          <w:szCs w:val="24"/>
        </w:rPr>
      </w:pPr>
      <w:r>
        <w:rPr>
          <w:rFonts w:ascii="Times New Roman" w:hAnsi="Times New Roman"/>
          <w:sz w:val="24"/>
          <w:szCs w:val="24"/>
        </w:rPr>
        <w:t xml:space="preserve">2. Довідка    про    безпосередню    участь   особи   в антитерористичній  операції,  забезпеченні її проведення або копію довідки   про   безпосередню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і  захисті  незалежності, суверенітету та територіальної цілісності  України за формами згідно з додатками 1 і 4 до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затвердженого постановою  Кабінету Міністрів  України  від  20  серпня  2014  р. N 413. </w:t>
      </w:r>
    </w:p>
    <w:p>
      <w:pPr>
        <w:spacing w:after="0" w:beforeAutospacing="0" w:afterAutospacing="0"/>
        <w:jc w:val="both"/>
        <w:rPr>
          <w:rStyle w:val="C4"/>
          <w:rFonts w:ascii="Times New Roman" w:hAnsi="Times New Roman"/>
          <w:i w:val="0"/>
          <w:iCs w:val="0"/>
          <w:color w:val="000000"/>
          <w:sz w:val="24"/>
          <w:szCs w:val="24"/>
          <w:spacing w:val="-2"/>
        </w:rPr>
      </w:pPr>
      <w:r>
        <w:rPr>
          <w:rFonts w:ascii="Times New Roman" w:hAnsi="Times New Roman"/>
          <w:sz w:val="24"/>
          <w:szCs w:val="24"/>
        </w:rPr>
        <w:t>-</w:t>
      </w:r>
      <w:r>
        <w:rPr>
          <w:rFonts w:ascii="Times New Roman" w:hAnsi="Times New Roman"/>
          <w:color w:val="000000"/>
          <w:sz w:val="24"/>
          <w:szCs w:val="24"/>
        </w:rPr>
        <w:t xml:space="preserve"> у разі відсутності у посвідченні учасника бойових дій посилання на пункти 19 і 20 частини першої статті 6 Закону України "Про  статус  ветеранів  війни, гарантії їх соціального захисту", відповідно до яких установлено статус, та крім осіб, статус  учасника бойових дій яким встановлено відповідно до пункту 21  частини  першої  статті 6 Закону України "Про статус ветеранів війни,  гарантії їх соціального захисту"; </w:t>
      </w:r>
      <w:bookmarkStart w:id="0" w:name="o88"/>
      <w:bookmarkEnd w:id="0"/>
      <w:r>
        <w:rPr>
          <w:rFonts w:ascii="Times New Roman" w:hAnsi="Times New Roman"/>
          <w:color w:val="000000"/>
          <w:sz w:val="24"/>
          <w:szCs w:val="24"/>
          <w:shd w:val="clear" w:color="auto" w:fill="FFFFFF"/>
        </w:rPr>
        <w:t xml:space="preserve">відповідно до яких установлено статус, та крім осіб, </w:t>
      </w:r>
      <w:r>
        <w:rPr>
          <w:rFonts w:ascii="Times New Roman" w:hAnsi="Times New Roman"/>
          <w:color w:val="000000"/>
          <w:sz w:val="24"/>
          <w:szCs w:val="24"/>
        </w:rPr>
        <w:br w:type="textWrapping"/>
      </w:r>
      <w:r>
        <w:rPr>
          <w:rFonts w:ascii="Times New Roman" w:hAnsi="Times New Roman"/>
          <w:color w:val="000000"/>
          <w:sz w:val="24"/>
          <w:szCs w:val="24"/>
          <w:shd w:val="clear" w:color="auto" w:fill="FFFFFF"/>
        </w:rPr>
        <w:t xml:space="preserve">статус  учасника бойових дій яким встановлено відповідно до пункту </w:t>
      </w:r>
      <w:r>
        <w:rPr>
          <w:rFonts w:ascii="Times New Roman" w:hAnsi="Times New Roman"/>
          <w:color w:val="000000"/>
          <w:sz w:val="24"/>
          <w:szCs w:val="24"/>
        </w:rPr>
        <w:br w:type="textWrapping"/>
      </w:r>
      <w:r>
        <w:rPr>
          <w:rFonts w:ascii="Times New Roman" w:hAnsi="Times New Roman"/>
          <w:color w:val="000000"/>
          <w:sz w:val="24"/>
          <w:szCs w:val="24"/>
          <w:shd w:val="clear" w:color="auto" w:fill="FFFFFF"/>
        </w:rPr>
        <w:t xml:space="preserve">21  частини  першої  статті 6 Закону України "Про статус ветеранів </w:t>
      </w:r>
      <w:r>
        <w:rPr>
          <w:rFonts w:ascii="Times New Roman" w:hAnsi="Times New Roman"/>
          <w:color w:val="000000"/>
          <w:sz w:val="24"/>
          <w:szCs w:val="24"/>
        </w:rPr>
        <w:br w:type="textWrapping"/>
      </w:r>
      <w:r>
        <w:rPr>
          <w:rFonts w:ascii="Times New Roman" w:hAnsi="Times New Roman"/>
          <w:color w:val="000000"/>
          <w:sz w:val="24"/>
          <w:szCs w:val="24"/>
          <w:shd w:val="clear" w:color="auto" w:fill="FFFFFF"/>
        </w:rPr>
        <w:t xml:space="preserve">війни,  гарантії їх соціального захисту"; </w:t>
      </w:r>
      <w:r>
        <w:rPr>
          <w:rStyle w:val="C4"/>
          <w:rFonts w:ascii="Times New Roman" w:hAnsi="Times New Roman"/>
          <w:i w:val="0"/>
          <w:iCs w:val="0"/>
          <w:color w:val="000000"/>
          <w:sz w:val="24"/>
          <w:szCs w:val="24"/>
          <w:shd w:val="clear" w:color="auto" w:fill="FFFFFF"/>
        </w:rPr>
        <w:t xml:space="preserve"> </w:t>
      </w:r>
    </w:p>
    <w:p>
      <w:pPr>
        <w:spacing w:after="0" w:beforeAutospacing="0" w:afterAutospacing="0"/>
        <w:jc w:val="both"/>
        <w:rPr>
          <w:rFonts w:ascii="Times New Roman" w:hAnsi="Times New Roman"/>
          <w:color w:val="000000"/>
          <w:sz w:val="24"/>
          <w:szCs w:val="24"/>
        </w:rPr>
      </w:pPr>
      <w:r>
        <w:rPr>
          <w:rFonts w:ascii="Times New Roman" w:hAnsi="Times New Roman"/>
          <w:color w:val="000000"/>
          <w:sz w:val="24"/>
          <w:szCs w:val="24"/>
        </w:rPr>
        <w:t xml:space="preserve">3. Посвідчення встановленого зразка згідно з додатком 2 до постанови  Кабінету  Міністрів України від 12 травня 1994 р. N 302 "Про  порядок видачі посвідчень і нагрудних знаків ветеранів  війни",  що підтверджує  статус  учасника  бойових  дій,  особи з інвалідністю внаслідок  війни  та  члена  сім’ї  загиблого (померлого) ветерана війни,  члена  сім’ї  загиблого (померлого) Захисника чи Захисниці України;</w:t>
      </w:r>
    </w:p>
    <w:p>
      <w:pPr>
        <w:spacing w:after="0" w:beforeAutospacing="0" w:afterAutospacing="0"/>
        <w:jc w:val="both"/>
        <w:rPr>
          <w:rStyle w:val="C4"/>
          <w:rFonts w:ascii="Times New Roman" w:hAnsi="Times New Roman"/>
          <w:iCs w:val="0"/>
          <w:color w:val="000000"/>
          <w:sz w:val="24"/>
          <w:szCs w:val="24"/>
        </w:rPr>
      </w:pPr>
      <w:r>
        <w:rPr>
          <w:rFonts w:ascii="Times New Roman" w:hAnsi="Times New Roman"/>
          <w:color w:val="000000"/>
          <w:sz w:val="24"/>
          <w:szCs w:val="24"/>
        </w:rPr>
        <w:t xml:space="preserve"> </w:t>
      </w:r>
      <w:bookmarkStart w:id="1" w:name="o89"/>
      <w:bookmarkEnd w:id="1"/>
      <w:r>
        <w:rPr>
          <w:rFonts w:ascii="Times New Roman" w:hAnsi="Times New Roman"/>
          <w:iCs w:val="1"/>
          <w:color w:val="000000"/>
          <w:sz w:val="24"/>
          <w:szCs w:val="24"/>
        </w:rPr>
        <w:t xml:space="preserve">   4. </w:t>
      </w:r>
      <w:bookmarkStart w:id="2" w:name="o90"/>
      <w:bookmarkEnd w:id="2"/>
      <w:r>
        <w:rPr>
          <w:rFonts w:ascii="Times New Roman" w:hAnsi="Times New Roman"/>
          <w:color w:val="000000"/>
          <w:sz w:val="24"/>
          <w:szCs w:val="24"/>
        </w:rPr>
        <w:t xml:space="preserve">Документи,  які підтверджують родинний зв’язок членів сім’ї  особи  з  інвалідністю внаслідок війни або учасника бойових дій;  </w:t>
      </w:r>
      <w:bookmarkStart w:id="3" w:name="o91"/>
      <w:bookmarkEnd w:id="3"/>
    </w:p>
    <w:p>
      <w:pPr>
        <w:spacing w:after="0" w:beforeAutospacing="0" w:afterAutospacing="0"/>
        <w:jc w:val="both"/>
        <w:rPr>
          <w:rStyle w:val="C4"/>
          <w:rFonts w:ascii="Times New Roman" w:hAnsi="Times New Roman"/>
          <w:iCs w:val="0"/>
          <w:color w:val="000000"/>
          <w:sz w:val="24"/>
          <w:szCs w:val="24"/>
        </w:rPr>
      </w:pPr>
      <w:r>
        <w:rPr>
          <w:rFonts w:ascii="Times New Roman" w:hAnsi="Times New Roman"/>
          <w:color w:val="000000"/>
          <w:sz w:val="24"/>
          <w:szCs w:val="24"/>
        </w:rPr>
        <w:t xml:space="preserve">    5. Довідка  про  взяття  на  облік внутрішньо переміщеної особи  на  кожного  члена сім’ї загиблого або особи з інвалідністю внаслідок  війни,  або  учасника  бойових дій;</w:t>
      </w:r>
      <w:bookmarkStart w:id="4" w:name="o92"/>
      <w:bookmarkEnd w:id="4"/>
    </w:p>
    <w:p>
      <w:pPr>
        <w:spacing w:after="0" w:beforeAutospacing="0" w:afterAutospacing="0"/>
        <w:rPr>
          <w:rFonts w:ascii="Times New Roman" w:hAnsi="Times New Roman"/>
          <w:sz w:val="24"/>
          <w:szCs w:val="24"/>
        </w:rPr>
      </w:pPr>
      <w:r>
        <w:rPr>
          <w:rFonts w:ascii="Times New Roman" w:hAnsi="Times New Roman"/>
          <w:color w:val="000000"/>
          <w:sz w:val="24"/>
          <w:szCs w:val="24"/>
        </w:rPr>
        <w:t xml:space="preserve">    6. Довідка   про  взяття  на  облік внутрішньо переміщеної особи  (видану  згідно  з Порядком оформлення і видачі довідки про взяття   на   облік  внутрішньо  пере</w:t>
      </w:r>
      <w:r>
        <w:rPr>
          <w:rFonts w:ascii="Times New Roman" w:hAnsi="Times New Roman"/>
          <w:sz w:val="24"/>
          <w:szCs w:val="24"/>
        </w:rPr>
        <w:t xml:space="preserve">міщеної  особи,  затвердженим постановою  Кабінету  Міністрів України від 1 жовтня 2014 р. N 509).</w:t>
      </w:r>
    </w:p>
    <w:p>
      <w:pPr>
        <w:spacing w:after="0" w:beforeAutospacing="0" w:afterAutospacing="0"/>
        <w:rPr>
          <w:rFonts w:ascii="Times New Roman" w:hAnsi="Times New Roman"/>
          <w:sz w:val="24"/>
          <w:szCs w:val="24"/>
        </w:rPr>
      </w:pPr>
      <w:r>
        <w:rPr>
          <w:rFonts w:ascii="Times New Roman" w:hAnsi="Times New Roman"/>
          <w:sz w:val="24"/>
          <w:szCs w:val="24"/>
        </w:rPr>
        <w:t xml:space="preserve">     7. Членами  сімей  осіб, визначених в абзаці четвертому пункту 1 статті  10 Закону України "Про статус ветеранів війни, гарантії їх соціального  захисту"  та особами з інвалідністю I-II групи,  які  стали  особами  з  інвалідністю  внаслідок  поранень, каліцтва,  контузії чи інших ушкоджень здоров’я, одержаних під час </w:t>
        <w:br w:type="textWrapping"/>
        <w:t xml:space="preserve">участі у Революції Гідності, визначеними пунктом 10 частини другої статті  7  Закону України "Про статус ветеранів війни, гарантії їх соціального  захисту", які є внутрішньо переміщеними особами, крім документів,  зазначених  у цьому пункті, додатково надається довідка,  видана  органом  соціального  захисту населення, в якому </w:t>
        <w:br w:type="textWrapping"/>
        <w:t xml:space="preserve">зазначена   категорія   осіб   перебуває   на   обліку   в  Єдиній інформаційній  базі  даних  про  внутрішньо  переміщених осіб, про наявність  цих  осіб  або  членів їх сім’ї у:</w:t>
      </w:r>
      <w:bookmarkStart w:id="5" w:name="o94"/>
      <w:bookmarkEnd w:id="5"/>
      <w:r>
        <w:rPr>
          <w:rFonts w:ascii="Times New Roman" w:hAnsi="Times New Roman"/>
          <w:sz w:val="24"/>
          <w:szCs w:val="24"/>
        </w:rPr>
        <w:t xml:space="preserve">  </w:t>
      </w:r>
    </w:p>
    <w:p>
      <w:pPr>
        <w:spacing w:after="0" w:beforeAutospacing="0" w:afterAutospacing="0"/>
        <w:jc w:val="both"/>
        <w:rPr>
          <w:rFonts w:ascii="Times New Roman" w:hAnsi="Times New Roman"/>
          <w:sz w:val="24"/>
          <w:szCs w:val="24"/>
        </w:rPr>
      </w:pPr>
      <w:r>
        <w:rPr>
          <w:rFonts w:ascii="Times New Roman" w:hAnsi="Times New Roman"/>
          <w:sz w:val="24"/>
          <w:szCs w:val="24"/>
        </w:rPr>
        <w:t xml:space="preserve">   1)  переліку  осіб,  які  під  час  участі  в  масових акціях громадського   протесту   отримали   тілесні   ушкодження  (тяжкі, середньої  тяжкості, легкі), затвердженому наказом МОЗ;</w:t>
      </w:r>
      <w:bookmarkStart w:id="6" w:name="o95"/>
      <w:bookmarkEnd w:id="6"/>
    </w:p>
    <w:p>
      <w:pPr>
        <w:spacing w:after="0" w:beforeAutospacing="0" w:afterAutospacing="0"/>
        <w:rPr>
          <w:rFonts w:ascii="Times New Roman" w:hAnsi="Times New Roman"/>
          <w:sz w:val="24"/>
          <w:szCs w:val="24"/>
        </w:rPr>
      </w:pPr>
      <w:r>
        <w:rPr>
          <w:rFonts w:ascii="Times New Roman" w:hAnsi="Times New Roman"/>
          <w:sz w:val="24"/>
          <w:szCs w:val="24"/>
        </w:rPr>
        <w:t xml:space="preserve">     2)  списку  осіб,  смерть  яких  пов’язана з участю в масових акціях громадського протесту, що відбулися у період з 21 листопада 2013  р.  по  21  лютого  2014  р.,  затвердженому  Мінсоцполітики; </w:t>
        <w:br w:type="textWrapping"/>
      </w:r>
      <w:bookmarkStart w:id="7" w:name="o96"/>
      <w:bookmarkEnd w:id="7"/>
      <w:r>
        <w:rPr>
          <w:rFonts w:ascii="Times New Roman" w:hAnsi="Times New Roman"/>
          <w:sz w:val="24"/>
          <w:szCs w:val="24"/>
        </w:rPr>
        <w:t xml:space="preserve">     8. У  разі  наявності  житлового  приміщення, яке зруйноване або стало   непридатним  для  проживання  внаслідок  збройної  агресії Російської   Федерації,   розташованого   в  інших  регіонах,  ніж тимчасово  окуповані території у Донецькій та Луганській областях, </w:t>
        <w:br w:type="textWrapping"/>
        <w:t xml:space="preserve">Автономній   Республіці   Крим  і  м.  Севастополі,  на  території адміністративно-територіальної одиниці, на якій проводяться бойові дії,  згідно  з  переліком,  затвердженим  розпорядженням Кабінету Міністрів  України  від  6  березня  2022 р. N 204, додається  відповідний  акт  обстеження  технічного стану житлового  приміщення  (будинку,  квартири), складеного в порядку, визначеному  Кабінетом  Міністрів  України.  </w:t>
      </w:r>
    </w:p>
    <w:p>
      <w:pPr>
        <w:tabs>
          <w:tab w:val="left" w:pos="13" w:leader="none"/>
        </w:tabs>
        <w:spacing w:after="0" w:beforeAutospacing="0" w:afterAutospacing="0"/>
        <w:jc w:val="both"/>
        <w:rPr>
          <w:rFonts w:ascii="Times New Roman" w:hAnsi="Times New Roman"/>
          <w:color w:val="000000"/>
          <w:sz w:val="24"/>
          <w:szCs w:val="24"/>
        </w:rPr>
      </w:pPr>
      <w:r>
        <w:rPr>
          <w:rFonts w:ascii="Times New Roman" w:hAnsi="Times New Roman"/>
          <w:sz w:val="24"/>
          <w:szCs w:val="24"/>
          <w:spacing w:val="-6"/>
        </w:rPr>
        <w:t>9.</w:t>
      </w:r>
      <w:r>
        <w:rPr>
          <w:rFonts w:ascii="Times New Roman" w:hAnsi="Times New Roman"/>
          <w:color w:val="000000"/>
          <w:sz w:val="24"/>
          <w:szCs w:val="24"/>
          <w:shd w:val="clear" w:color="auto" w:fill="FFFFFF"/>
        </w:rPr>
        <w:t xml:space="preserve"> 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pPr>
        <w:tabs>
          <w:tab w:val="left" w:pos="13" w:leader="none"/>
        </w:tabs>
        <w:spacing w:after="0" w:beforeAutospacing="0" w:afterAutospacing="0"/>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10. Один з передбачених </w:t>
      </w:r>
      <w:hyperlink xmlns:r="http://schemas.openxmlformats.org/officeDocument/2006/relationships" r:id="R2" w:tgtFrame="_blank">
        <w:r>
          <w:rPr>
            <w:rStyle w:val="C2"/>
            <w:rFonts w:ascii="Times New Roman" w:hAnsi="Times New Roman"/>
            <w:color w:val="000000"/>
            <w:sz w:val="24"/>
            <w:szCs w:val="24"/>
            <w:u w:val="none"/>
            <w:shd w:val="clear" w:color="auto" w:fill="FFFFFF"/>
          </w:rPr>
          <w:t>Податковим кодексом України</w:t>
        </w:r>
      </w:hyperlink>
      <w:r>
        <w:rPr>
          <w:rFonts w:ascii="Times New Roman" w:hAnsi="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pPr>
        <w:tabs>
          <w:tab w:val="left" w:pos="13" w:leader="none"/>
        </w:tabs>
        <w:spacing w:after="0" w:beforeAutospacing="0" w:afterAutospacing="0"/>
        <w:jc w:val="both"/>
        <w:rPr>
          <w:rFonts w:ascii="Times New Roman" w:hAnsi="Times New Roman"/>
          <w:sz w:val="24"/>
          <w:szCs w:val="24"/>
        </w:rPr>
      </w:pPr>
    </w:p>
    <w:p>
      <w:pPr>
        <w:tabs>
          <w:tab w:val="left" w:pos="252" w:leader="none"/>
        </w:tabs>
        <w:spacing w:after="0" w:beforeAutospacing="0" w:afterAutospacing="0"/>
        <w:jc w:val="both"/>
        <w:rPr>
          <w:rFonts w:ascii="Times New Roman" w:hAnsi="Times New Roman"/>
          <w:sz w:val="24"/>
          <w:szCs w:val="24"/>
        </w:rPr>
      </w:pPr>
    </w:p>
    <w:p>
      <w:pPr>
        <w:pStyle w:val="P1"/>
        <w:shd w:val="clear" w:fill="FFFFFF"/>
        <w:jc w:val="both"/>
        <w:rPr>
          <w:rFonts w:ascii="Times New Roman" w:hAnsi="Times New Roman"/>
          <w:sz w:val="24"/>
          <w:szCs w:val="24"/>
          <w:lang w:val="uk-UA"/>
        </w:rPr>
      </w:pPr>
    </w:p>
    <w:p>
      <w:pPr>
        <w:pStyle w:val="P1"/>
        <w:shd w:val="clear" w:fill="FFFFFF"/>
        <w:jc w:val="both"/>
        <w:rPr>
          <w:rFonts w:ascii="Times New Roman" w:hAnsi="Times New Roman"/>
          <w:sz w:val="24"/>
          <w:szCs w:val="24"/>
          <w:lang w:val="uk-UA"/>
        </w:rPr>
      </w:pPr>
    </w:p>
    <w:p>
      <w:pPr>
        <w:pStyle w:val="P1"/>
        <w:shd w:val="clear" w:fill="FFFFFF"/>
        <w:jc w:val="both"/>
        <w:rPr>
          <w:rFonts w:ascii="Times New Roman" w:hAnsi="Times New Roman"/>
          <w:sz w:val="24"/>
          <w:szCs w:val="24"/>
          <w:lang w:val="uk-UA"/>
        </w:rPr>
      </w:pPr>
    </w:p>
    <w:p>
      <w:pPr>
        <w:pStyle w:val="P1"/>
        <w:shd w:val="clear" w:fill="FFFFFF"/>
        <w:jc w:val="both"/>
        <w:rPr>
          <w:rFonts w:ascii="Times New Roman" w:hAnsi="Times New Roman"/>
          <w:sz w:val="24"/>
          <w:szCs w:val="24"/>
          <w:lang w:val="uk-UA"/>
        </w:rPr>
      </w:pPr>
    </w:p>
    <w:p>
      <w:pPr>
        <w:pStyle w:val="P1"/>
        <w:shd w:val="clear" w:fill="FFFFFF"/>
        <w:jc w:val="both"/>
        <w:rPr>
          <w:rFonts w:ascii="Times New Roman" w:hAnsi="Times New Roman"/>
          <w:sz w:val="24"/>
          <w:szCs w:val="24"/>
          <w:lang w:val="uk-UA"/>
        </w:rPr>
      </w:pPr>
    </w:p>
    <w:p>
      <w:pPr>
        <w:spacing w:after="0" w:beforeAutospacing="0" w:afterAutospacing="0"/>
        <w:rPr>
          <w:rFonts w:ascii="Times New Roman" w:hAnsi="Times New Roman"/>
          <w:sz w:val="24"/>
          <w:szCs w:val="24"/>
        </w:rPr>
      </w:pPr>
      <w:r>
        <w:rPr>
          <w:rFonts w:ascii="Times New Roman" w:hAnsi="Times New Roman"/>
          <w:sz w:val="24"/>
          <w:szCs w:val="24"/>
        </w:rPr>
        <w:t xml:space="preserve">Міський голова </w:t>
        <w:tab/>
        <w:tab/>
        <w:tab/>
        <w:tab/>
        <w:tab/>
        <w:tab/>
        <w:tab/>
        <w:tab/>
        <w:t xml:space="preserve">       Сергій НАДАЛ </w:t>
      </w:r>
    </w:p>
    <w:p>
      <w:pPr>
        <w:pStyle w:val="P1"/>
        <w:shd w:val="clear" w:fill="FFFFFF"/>
        <w:jc w:val="both"/>
        <w:rPr>
          <w:rFonts w:ascii="Times New Roman" w:hAnsi="Times New Roman"/>
          <w:sz w:val="24"/>
          <w:szCs w:val="24"/>
          <w:lang w:val="uk-UA"/>
        </w:rPr>
      </w:pPr>
    </w:p>
    <w:p>
      <w:pPr>
        <w:spacing w:after="0" w:beforeAutospacing="0" w:afterAutospacing="0"/>
        <w:rPr>
          <w:rFonts w:ascii="Times New Roman" w:hAnsi="Times New Roman"/>
          <w:sz w:val="24"/>
          <w:szCs w:val="24"/>
        </w:rPr>
      </w:pPr>
    </w:p>
    <w:sectPr>
      <w:headerReference xmlns:r="http://schemas.openxmlformats.org/officeDocument/2006/relationships" w:type="default" r:id="RelHdr1"/>
      <w:headerReference xmlns:r="http://schemas.openxmlformats.org/officeDocument/2006/relationships" w:type="even" r:id="RelHdr2"/>
      <w:type w:val="nextPage"/>
      <w:pgSz w:w="11906" w:h="16838" w:code="0"/>
      <w:pgMar w:left="1985" w:right="567" w:top="1134" w:bottom="1985" w:header="709" w:footer="709" w:gutter="0"/>
      <w:titlePg w:val="1"/>
    </w:sectPr>
  </w:body>
</w:document>
</file>

<file path=word/header1.xml><?xml version="1.0" encoding="utf-8"?>
<w:hd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p>
    <w:r>
      <w:t xml:space="preserve">                                                                  </w:t>
    </w:r>
    <w:r>
      <w:rPr>
        <w:rFonts w:ascii="Times New Roman" w:hAnsi="Times New Roman"/>
        <w:sz w:val="20"/>
      </w:rPr>
      <w:t xml:space="preserve">       </w:t>
    </w:r>
    <w:r>
      <w:rPr>
        <w:rFonts w:ascii="Times New Roman" w:hAnsi="Times New Roman"/>
        <w:sz w:val="24"/>
      </w:rPr>
      <w:t>2</w:t>
    </w:r>
  </w:p>
</w:hdr>
</file>

<file path=word/header2.xml><?xml version="1.0" encoding="utf-8"?>
<w:hd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p>
    <w:r>
      <w:t xml:space="preserve">                                                                                </w:t>
    </w:r>
    <w:r>
      <w:rPr>
        <w:rFonts w:ascii="Times New Roman" w:hAnsi="Times New Roman"/>
        <w:sz w:val="24"/>
      </w:rPr>
      <w:t xml:space="preserve"> 2</w:t>
    </w:r>
  </w:p>
</w:hdr>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0"/>
  <w:defaultTabStop w:val="708"/>
  <w:autoHyphenation w:val="0"/>
  <w:hyphenationZone w:val="425"/>
  <w:evenAndOddHeaders w:val="1"/>
  <w:compat>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Calibri" w:hAnsi="Calibri"/>
        <w:sz w:val="22"/>
        <w:szCs w:val="22"/>
        <w:lang w:val="uk-UA" w:bidi="ar-SA" w:eastAsia="uk-UA"/>
      </w:rPr>
    </w:rPrDefault>
    <w:pPrDefault>
      <w:pPr>
        <w:keepNext w:val="0"/>
        <w:keepLines w:val="0"/>
        <w:pageBreakBefore w:val="0"/>
        <w:widowControl w:val="1"/>
        <w:suppressLineNumbers w:val="0"/>
        <w:shd w:val="clear" w:fill="auto"/>
        <w:suppressAutoHyphens w:val="0"/>
        <w:spacing w:lineRule="auto" w:line="276" w:before="0" w:after="200" w:beforeAutospacing="0" w:afterAutospacing="0"/>
        <w:ind w:firstLine="0" w:left="0" w:right="0"/>
        <w:contextualSpacing w:val="0"/>
        <w:bidi w:val="0"/>
        <w:jc w:val="left"/>
        <w:outlineLvl w:val="9"/>
      </w:pPr>
    </w:pPrDefault>
  </w:docDefaults>
  <w:style w:type="paragraph" w:styleId="P0" w:default="1">
    <w:name w:val="Normal"/>
    <w:qFormat/>
    <w:pPr/>
    <w:rPr/>
  </w:style>
  <w:style w:type="paragraph" w:styleId="P1">
    <w:name w:val="HTML Preformatted"/>
    <w:basedOn w:val="P0"/>
    <w:link w:val="C3"/>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after="0" w:beforeAutospacing="0" w:afterAutospacing="0"/>
    </w:pPr>
    <w:rPr>
      <w:rFonts w:ascii="Courier New" w:hAnsi="Courier New"/>
      <w:sz w:val="20"/>
      <w:szCs w:val="20"/>
      <w:lang w:val="ru-RU" w:eastAsia="ru-RU"/>
    </w:rPr>
  </w:style>
  <w:style w:type="character" w:styleId="C0" w:default="1">
    <w:name w:val="Default Paragraph Font"/>
    <w:semiHidden/>
    <w:rPr/>
  </w:style>
  <w:style w:type="character" w:styleId="C1">
    <w:name w:val="Line Number"/>
    <w:basedOn w:val="C0"/>
    <w:semiHidden/>
    <w:rPr/>
  </w:style>
  <w:style w:type="character" w:styleId="C2">
    <w:name w:val="Hyperlink"/>
    <w:basedOn w:val="C0"/>
    <w:rPr>
      <w:color w:val="0000FF"/>
      <w:u w:val="single"/>
    </w:rPr>
  </w:style>
  <w:style w:type="character" w:styleId="C3">
    <w:name w:val="Стандартный HTML Знак"/>
    <w:basedOn w:val="C0"/>
    <w:link w:val="P1"/>
    <w:rPr>
      <w:rFonts w:ascii="Courier New" w:hAnsi="Courier New"/>
      <w:sz w:val="20"/>
      <w:szCs w:val="20"/>
      <w:lang w:val="ru-RU" w:eastAsia="ru-RU"/>
    </w:rPr>
  </w:style>
  <w:style w:type="character" w:styleId="C4">
    <w:name w:val="Emphasis"/>
    <w:basedOn w:val="C0"/>
    <w:qFormat/>
    <w:rPr>
      <w:i w:val="1"/>
      <w:iCs w:val="1"/>
    </w:rPr>
  </w:style>
  <w:style w:type="table" w:styleId="T0" w:default="1">
    <w:name w:val="Normal Table"/>
    <w:semiHidden/>
    <w:qFormat/>
    <w:tblPr>
      <w:tblInd w:w="0" w:type="dxa"/>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numbering" w:styleId="N0">
    <w:name w:val="No List"/>
  </w:style>
</w:styles>
</file>

<file path=word/_rels/document.xml.rels>&#65279;<?xml version="1.0" encoding="utf-8"?><Relationships xmlns="http://schemas.openxmlformats.org/package/2006/relationships"><Relationship Id="R2" Type="http://schemas.openxmlformats.org/officeDocument/2006/relationships/hyperlink" Target="https://zakon.rada.gov.ua/laws/show/2755-17" TargetMode="External" /><Relationship Id="RelHdr1" Type="http://schemas.openxmlformats.org/officeDocument/2006/relationships/header" Target="header1.xml" /><Relationship Id="RelHdr2" Type="http://schemas.openxmlformats.org/officeDocument/2006/relationships/header" Target="header2.xm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_rels/header1.xml.rels>&#65279;<?xml version="1.0" encoding="utf-8"?><Relationships xmlns="http://schemas.openxmlformats.org/package/2006/relationships" />
</file>

<file path=word/_rels/header2.xml.rels>&#65279;<?xml version="1.0" encoding="utf-8"?><Relationships xmlns="http://schemas.openxmlformats.org/package/2006/relationships" />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theme>
</file>

<file path=docProps/app.xml><?xml version="1.0" encoding="utf-8"?>
<Properties xmlns="http://schemas.openxmlformats.org/officeDocument/2006/extended-properties">
  <Application>DevExpress Office File API/21.1.3.0</Application>
  <AppVersion>21.1</AppVersion>
  <Company>Reanimator Extreme Edition</Company>
  <Template>Normal</Template>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d11-hudyma</dc:creator>
  <dcterms:created xsi:type="dcterms:W3CDTF">2023-02-17T13:05:00Z</dcterms:created>
  <cp:lastModifiedBy>askod</cp:lastModifiedBy>
  <dcterms:modified xsi:type="dcterms:W3CDTF">2023-03-15T10:04:00Z</dcterms:modified>
  <cp:revision>15</cp:revision>
</cp:coreProperties>
</file>